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pStyle w:val="Style_3"/>
        <w:rPr>
          <w:b w:val="1"/>
        </w:rPr>
      </w:pPr>
    </w:p>
    <w:p w14:paraId="03000000">
      <w:pPr>
        <w:pStyle w:val="Style_3"/>
        <w:rPr>
          <w:b w:val="1"/>
        </w:rPr>
      </w:pPr>
      <w:r>
        <w:rPr>
          <w:b w:val="1"/>
        </w:rPr>
        <w:t>За нарушение правил эксплуатации объектов критической информационной инфраструктуры РФ предусмотрен штраф до 500 тысяч рублей</w:t>
      </w:r>
    </w:p>
    <w:p w14:paraId="04000000">
      <w:pPr>
        <w:pStyle w:val="Style_3"/>
        <w:ind w:firstLine="567"/>
        <w:rPr>
          <w:rFonts w:ascii="Times New Roman" w:hAnsi="Times New Roman"/>
          <w:b w:val="1"/>
          <w:i w:val="1"/>
        </w:rPr>
      </w:pPr>
      <w:r>
        <w:rPr>
          <w:rFonts w:ascii="Times New Roman" w:hAnsi="Times New Roman"/>
          <w:b w:val="0"/>
          <w:i w:val="1"/>
        </w:rPr>
        <w:t>Взаимосвязанные пункт 6 статьи 279, пункт 4 статьи 281 ГК РФ и пункт 2 статьи 56.11 Земельного кодекса РФ признаны не противоречащими Конституции РФ в той мере, в какой они, допуская возможность при рассмотрении спора об изъятии земельного участка для государственных или муниципальных нужд, - в случае несогласия собственника с размером предложенного ему возмещения за передачу земельного участка в публичную собственность - выделить требование об определении размера возмещения в отдельное производство и принять решение об изъятии земельного участка до установления в выделенном деле окончательного размера возмещения, предполагают - если федеральными законами не установлены специальные правила о принятии таких взаимосвязанных решений - необходимость предоставления собственнику земельного участка следующих связанных с этим гарантий:</w:t>
      </w:r>
    </w:p>
    <w:p w14:paraId="05000000">
      <w:pPr>
        <w:widowControl w:val="1"/>
        <w:numPr>
          <w:ilvl w:val="0"/>
          <w:numId w:val="1"/>
        </w:numPr>
        <w:spacing w:after="0" w:before="0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выделение дела в отдельное производство допускается, только если сама по себе обоснованность требования об изъятии земельного участка не вызывает сомнения, и может быть обусловлено исключительно либо такими обстоятельствами, при которых промедление с изъятием земельного участка влечет риски наступления неблагоприятных последствий для здоровья, прав и законных интересов других лиц или интересов обеспечения обороны страны и безопасности государства, либо тем, что - при отсутствии на подлежащем изъятию земельном участке иных принадлежащих тому же собственнику объектов недвижимости - он с согласия или при отсутствии возражений правообладателя фактически уже используется для целей, в связи с которыми производится изъятие;</w:t>
      </w:r>
    </w:p>
    <w:p w14:paraId="06000000">
      <w:pPr>
        <w:widowControl w:val="1"/>
        <w:numPr>
          <w:ilvl w:val="0"/>
          <w:numId w:val="1"/>
        </w:numPr>
        <w:spacing w:after="0" w:before="0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решение об изъятии земельного участка должно предусматривать предварительную выплату или внесение в депозит нотариуса суммы возмещения, предложенной собственнику на основании отчета об оценке, составленного при подготовке соглашения об изъятии земельного участка для государственных или муниципальных нужд;</w:t>
      </w:r>
    </w:p>
    <w:p w14:paraId="07000000">
      <w:pPr>
        <w:widowControl w:val="1"/>
        <w:numPr>
          <w:ilvl w:val="0"/>
          <w:numId w:val="1"/>
        </w:numPr>
        <w:spacing w:after="0" w:before="0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бывший собственник земельного участка, помимо доплаты разницы между произведенной предварительной выплатой и размером возмещения, который определен судом в результате рассмотрения выделенного в отдельное производство дела, имеет право на возмещение убытков, вызванных тем, что при изъятии земельного участка ему не было предоставлено возмещение в полном размере; данные убытки подлежат установлению в выделенном в отдельное производство деле, если соответствующее требование заявлено в нем бывшим собственником, или по его отдельному исковому заявлению;</w:t>
      </w:r>
    </w:p>
    <w:p w14:paraId="08000000">
      <w:pPr>
        <w:widowControl w:val="1"/>
        <w:numPr>
          <w:ilvl w:val="0"/>
          <w:numId w:val="1"/>
        </w:numPr>
        <w:spacing w:after="0" w:before="0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в случае, если установлено, что обстоятельства, в которых промедление с изъятием земельного участка влечет риски наступления существенных неблагоприятных последствий, возникли в связи с несвоевременным или ненадлежащим осуществлением функций по изъятию земельных участков для публичных нужд, в качестве компенсации бывшему собственнику решением суда по делу, выделенному в отдельное производство, если соответствующее требование заявлено им при его рассмотрении, или по отдельному исковому заявлению присуждаются проценты на сумму положительной разницы между установленным в отдельном производстве размером возмещения и предварительно выплаченной или внесенной в депозит нотариуса суммой возмещения, размер которых определяется ключевой ставкой Банка России, действовавшей в соответствующие периоды, за период со дня вступления в силу судебного постановления об изъятии имущества и до момента осуществления окончательного расчета; в этом случае убытки, вызванные указанной разницей, возмещаются в части, не покрытой выплатой процентов; при недобросовестности собственника, которой не может считаться само по себе его несогласие с предложенным размером возмещения, суд отказывает в выплате указанных процентов;</w:t>
      </w:r>
    </w:p>
    <w:p w14:paraId="09000000">
      <w:pPr>
        <w:widowControl w:val="1"/>
        <w:numPr>
          <w:ilvl w:val="0"/>
          <w:numId w:val="1"/>
        </w:numPr>
        <w:spacing w:after="0" w:before="0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производство по выделенному требованию об определении размера возмещения не может быть прекращено в связи с отказом истца от иска;</w:t>
      </w:r>
    </w:p>
    <w:p w14:paraId="0A000000">
      <w:pPr>
        <w:widowControl w:val="1"/>
        <w:numPr>
          <w:ilvl w:val="0"/>
          <w:numId w:val="1"/>
        </w:numPr>
        <w:spacing w:after="0" w:before="0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если по результатам отдельного производства будет установлена сумма большая, чем была предложена собственнику на основании отчета об оценке, выплата положительной разницы должна быть произведена незамедлительно после вступления в силу такого судебного постановления.</w:t>
      </w:r>
    </w:p>
    <w:p w14:paraId="0B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Федеральный законодатель не лишен возможности с учетом правовых позиций Конституционного Суда, выраженных в настоящем Постановлении, внести изменения в действующее правовое регулирование.</w:t>
      </w:r>
    </w:p>
    <w:p w14:paraId="0C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b w:val="0"/>
          <w:i w:val="1"/>
        </w:rPr>
      </w:pPr>
    </w:p>
    <w:p w14:paraId="0D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b w:val="0"/>
          <w:i w:val="1"/>
        </w:rPr>
      </w:pP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"/>
      <w:pPr>
        <w:widowControl w:val="1"/>
        <w:ind w:hanging="360" w:left="720"/>
      </w:pPr>
      <w:rPr>
        <w:rFonts w:ascii="Wingdings" w:hAnsi="Wingdings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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"/>
      <w:pPr>
        <w:widowControl w:val="1"/>
        <w:ind w:hanging="360" w:left="2880"/>
      </w:pPr>
      <w:rPr>
        <w:rFonts w:ascii="Wingdings" w:hAnsi="Wingdings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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"/>
      <w:pPr>
        <w:widowControl w:val="1"/>
        <w:ind w:hanging="360" w:left="5040"/>
      </w:pPr>
      <w:rPr>
        <w:rFonts w:ascii="Wingdings" w:hAnsi="Wingdings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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ing 7"/>
    <w:basedOn w:val="Style_4"/>
    <w:next w:val="Style_4"/>
    <w:link w:val="Style_7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7_ch" w:type="character">
    <w:name w:val="heading 7"/>
    <w:basedOn w:val="Style_4_ch"/>
    <w:link w:val="Style_7"/>
    <w:rPr>
      <w:color w:themeColor="text1" w:themeTint="A6" w:val="595959"/>
    </w:rPr>
  </w:style>
  <w:style w:styleId="Style_8" w:type="paragraph">
    <w:name w:val="toc 6"/>
    <w:next w:val="Style_4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s3"/>
    <w:basedOn w:val="Style_10"/>
    <w:link w:val="Style_9_ch"/>
    <w:rPr>
      <w:rFonts w:ascii=".SFUI-RegularItalic" w:hAnsi=".SFUI-RegularItalic"/>
      <w:b w:val="0"/>
      <w:i w:val="1"/>
      <w:sz w:val="18"/>
    </w:rPr>
  </w:style>
  <w:style w:styleId="Style_9_ch" w:type="character">
    <w:name w:val="s3"/>
    <w:basedOn w:val="Style_10_ch"/>
    <w:link w:val="Style_9"/>
    <w:rPr>
      <w:rFonts w:ascii=".SFUI-RegularItalic" w:hAnsi=".SFUI-RegularItalic"/>
      <w:b w:val="0"/>
      <w:i w:val="1"/>
      <w:sz w:val="18"/>
    </w:rPr>
  </w:style>
  <w:style w:styleId="Style_11" w:type="paragraph">
    <w:name w:val="toc 7"/>
    <w:next w:val="Style_4"/>
    <w:link w:val="Style_11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Intense Reference"/>
    <w:basedOn w:val="Style_10"/>
    <w:link w:val="Style_13_ch"/>
    <w:rPr>
      <w:b w:val="1"/>
      <w:smallCaps w:val="1"/>
      <w:color w:themeColor="accent1" w:themeShade="BF" w:val="2F5496"/>
      <w:spacing w:val="5"/>
    </w:rPr>
  </w:style>
  <w:style w:styleId="Style_13_ch" w:type="character">
    <w:name w:val="Intense Reference"/>
    <w:basedOn w:val="Style_10_ch"/>
    <w:link w:val="Style_13"/>
    <w:rPr>
      <w:b w:val="1"/>
      <w:smallCaps w:val="1"/>
      <w:color w:themeColor="accent1" w:themeShade="BF" w:val="2F5496"/>
      <w:spacing w:val="5"/>
    </w:rPr>
  </w:style>
  <w:style w:styleId="Style_14" w:type="paragraph">
    <w:name w:val="heading 3"/>
    <w:basedOn w:val="Style_4"/>
    <w:next w:val="Style_4"/>
    <w:link w:val="Style_14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4_ch" w:type="character">
    <w:name w:val="heading 3"/>
    <w:basedOn w:val="Style_4_ch"/>
    <w:link w:val="Style_14"/>
    <w:rPr>
      <w:color w:themeColor="accent1" w:themeShade="BF" w:val="2F5496"/>
      <w:sz w:val="28"/>
    </w:rPr>
  </w:style>
  <w:style w:styleId="Style_2" w:type="paragraph">
    <w:name w:val="s1"/>
    <w:basedOn w:val="Style_10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0_ch"/>
    <w:link w:val="Style_2"/>
    <w:rPr>
      <w:rFonts w:ascii=".SFUI-Regular" w:hAnsi=".SFUI-Regular"/>
      <w:b w:val="0"/>
      <w:i w:val="0"/>
      <w:sz w:val="18"/>
    </w:rPr>
  </w:style>
  <w:style w:styleId="Style_15" w:type="paragraph">
    <w:name w:val="s2"/>
    <w:basedOn w:val="Style_10"/>
    <w:link w:val="Style_15_ch"/>
    <w:rPr>
      <w:rFonts w:ascii=".SFUI-Semibold" w:hAnsi=".SFUI-Semibold"/>
      <w:b w:val="1"/>
      <w:i w:val="0"/>
      <w:sz w:val="18"/>
    </w:rPr>
  </w:style>
  <w:style w:styleId="Style_15_ch" w:type="character">
    <w:name w:val="s2"/>
    <w:basedOn w:val="Style_10_ch"/>
    <w:link w:val="Style_15"/>
    <w:rPr>
      <w:rFonts w:ascii=".SFUI-Semibold" w:hAnsi=".SFUI-Semibold"/>
      <w:b w:val="1"/>
      <w:i w:val="0"/>
      <w:sz w:val="18"/>
    </w:rPr>
  </w:style>
  <w:style w:styleId="Style_16" w:type="paragraph">
    <w:name w:val="heading 9"/>
    <w:basedOn w:val="Style_4"/>
    <w:next w:val="Style_4"/>
    <w:link w:val="Style_16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6_ch" w:type="character">
    <w:name w:val="heading 9"/>
    <w:basedOn w:val="Style_4_ch"/>
    <w:link w:val="Style_16"/>
    <w:rPr>
      <w:color w:themeColor="text1" w:themeTint="D8" w:val="272727"/>
    </w:rPr>
  </w:style>
  <w:style w:styleId="Style_17" w:type="paragraph">
    <w:name w:val="Quote"/>
    <w:basedOn w:val="Style_4"/>
    <w:next w:val="Style_4"/>
    <w:link w:val="Style_17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17_ch" w:type="character">
    <w:name w:val="Quote"/>
    <w:basedOn w:val="Style_4_ch"/>
    <w:link w:val="Style_17"/>
    <w:rPr>
      <w:i w:val="1"/>
      <w:color w:themeColor="text1" w:themeTint="BF" w:val="404040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18" w:type="paragraph">
    <w:name w:val="toc 3"/>
    <w:next w:val="Style_4"/>
    <w:link w:val="Style_1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apple-converted-space"/>
    <w:basedOn w:val="Style_10"/>
    <w:link w:val="Style_19_ch"/>
  </w:style>
  <w:style w:styleId="Style_19_ch" w:type="character">
    <w:name w:val="apple-converted-space"/>
    <w:basedOn w:val="Style_10_ch"/>
    <w:link w:val="Style_19"/>
  </w:style>
  <w:style w:styleId="Style_20" w:type="paragraph">
    <w:name w:val="heading 5"/>
    <w:basedOn w:val="Style_4"/>
    <w:next w:val="Style_4"/>
    <w:link w:val="Style_20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20_ch" w:type="character">
    <w:name w:val="heading 5"/>
    <w:basedOn w:val="Style_4_ch"/>
    <w:link w:val="Style_20"/>
    <w:rPr>
      <w:color w:themeColor="accent1" w:themeShade="BF" w:val="2F5496"/>
    </w:rPr>
  </w:style>
  <w:style w:styleId="Style_21" w:type="paragraph">
    <w:name w:val="heading 1"/>
    <w:basedOn w:val="Style_4"/>
    <w:next w:val="Style_4"/>
    <w:link w:val="Style_21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1_ch" w:type="character">
    <w:name w:val="heading 1"/>
    <w:basedOn w:val="Style_4_ch"/>
    <w:link w:val="Style_21"/>
    <w:rPr>
      <w:rFonts w:asciiTheme="majorAscii" w:hAnsiTheme="majorHAnsi"/>
      <w:color w:themeColor="accent1" w:themeShade="BF" w:val="2F5496"/>
      <w:sz w:val="40"/>
    </w:rPr>
  </w:style>
  <w:style w:styleId="Style_22" w:type="paragraph">
    <w:name w:val="Hyperlink"/>
    <w:basedOn w:val="Style_10"/>
    <w:link w:val="Style_22_ch"/>
    <w:rPr>
      <w:color w:val="0000FF"/>
      <w:u w:val="single"/>
    </w:rPr>
  </w:style>
  <w:style w:styleId="Style_22_ch" w:type="character">
    <w:name w:val="Hyperlink"/>
    <w:basedOn w:val="Style_10_ch"/>
    <w:link w:val="Style_22"/>
    <w:rPr>
      <w:color w:val="0000FF"/>
      <w:u w:val="single"/>
    </w:rPr>
  </w:style>
  <w:style w:styleId="Style_23" w:type="paragraph">
    <w:name w:val="Footnote"/>
    <w:link w:val="Style_2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3" w:type="paragraph">
    <w:name w:val="heading 8"/>
    <w:basedOn w:val="Style_4"/>
    <w:next w:val="Style_4"/>
    <w:link w:val="Style_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3_ch" w:type="character">
    <w:name w:val="heading 8"/>
    <w:basedOn w:val="Style_4_ch"/>
    <w:link w:val="Style_3"/>
    <w:rPr>
      <w:i w:val="1"/>
      <w:color w:themeColor="text1" w:themeTint="D8" w:val="272727"/>
    </w:rPr>
  </w:style>
  <w:style w:styleId="Style_24" w:type="paragraph">
    <w:name w:val="toc 1"/>
    <w:next w:val="Style_4"/>
    <w:link w:val="Style_2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Intense Quote"/>
    <w:basedOn w:val="Style_4"/>
    <w:next w:val="Style_4"/>
    <w:link w:val="Style_26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26_ch" w:type="character">
    <w:name w:val="Intense Quote"/>
    <w:basedOn w:val="Style_4_ch"/>
    <w:link w:val="Style_26"/>
    <w:rPr>
      <w:i w:val="1"/>
      <w:color w:themeColor="accent1" w:themeShade="BF" w:val="2F5496"/>
    </w:rPr>
  </w:style>
  <w:style w:styleId="Style_27" w:type="paragraph">
    <w:name w:val="toc 9"/>
    <w:next w:val="Style_4"/>
    <w:link w:val="Style_2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toc 8"/>
    <w:next w:val="Style_4"/>
    <w:link w:val="Style_2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toc 5"/>
    <w:next w:val="Style_4"/>
    <w:link w:val="Style_29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List Paragraph"/>
    <w:basedOn w:val="Style_4"/>
    <w:link w:val="Style_30_ch"/>
    <w:pPr>
      <w:widowControl w:val="0"/>
      <w:ind w:firstLine="0" w:left="720"/>
      <w:contextualSpacing w:val="1"/>
    </w:pPr>
  </w:style>
  <w:style w:styleId="Style_30_ch" w:type="character">
    <w:name w:val="List Paragraph"/>
    <w:basedOn w:val="Style_4_ch"/>
    <w:link w:val="Style_30"/>
  </w:style>
  <w:style w:styleId="Style_31" w:type="paragraph">
    <w:name w:val="Intense Emphasis"/>
    <w:basedOn w:val="Style_10"/>
    <w:link w:val="Style_31_ch"/>
    <w:rPr>
      <w:i w:val="1"/>
      <w:color w:themeColor="accent1" w:themeShade="BF" w:val="2F5496"/>
    </w:rPr>
  </w:style>
  <w:style w:styleId="Style_31_ch" w:type="character">
    <w:name w:val="Intense Emphasis"/>
    <w:basedOn w:val="Style_10_ch"/>
    <w:link w:val="Style_31"/>
    <w:rPr>
      <w:i w:val="1"/>
      <w:color w:themeColor="accent1" w:themeShade="BF" w:val="2F549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32" w:type="paragraph">
    <w:name w:val="Subtitle"/>
    <w:basedOn w:val="Style_4"/>
    <w:next w:val="Style_4"/>
    <w:link w:val="Style_32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2_ch" w:type="character">
    <w:name w:val="Subtitle"/>
    <w:basedOn w:val="Style_4_ch"/>
    <w:link w:val="Style_32"/>
    <w:rPr>
      <w:color w:themeColor="text1" w:themeTint="A6" w:val="595959"/>
      <w:spacing w:val="15"/>
      <w:sz w:val="28"/>
    </w:rPr>
  </w:style>
  <w:style w:styleId="Style_33" w:type="paragraph">
    <w:name w:val="Title"/>
    <w:basedOn w:val="Style_4"/>
    <w:next w:val="Style_4"/>
    <w:link w:val="Style_33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3_ch" w:type="character">
    <w:name w:val="Title"/>
    <w:basedOn w:val="Style_4_ch"/>
    <w:link w:val="Style_33"/>
    <w:rPr>
      <w:rFonts w:asciiTheme="majorAscii" w:hAnsiTheme="majorHAnsi"/>
      <w:spacing w:val="-10"/>
      <w:sz w:val="56"/>
    </w:rPr>
  </w:style>
  <w:style w:styleId="Style_34" w:type="paragraph">
    <w:name w:val="heading 4"/>
    <w:basedOn w:val="Style_4"/>
    <w:next w:val="Style_4"/>
    <w:link w:val="Style_34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4_ch" w:type="character">
    <w:name w:val="heading 4"/>
    <w:basedOn w:val="Style_4_ch"/>
    <w:link w:val="Style_34"/>
    <w:rPr>
      <w:i w:val="1"/>
      <w:color w:themeColor="accent1" w:themeShade="BF" w:val="2F5496"/>
    </w:rPr>
  </w:style>
  <w:style w:styleId="Style_35" w:type="paragraph">
    <w:name w:val="heading 2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5_ch" w:type="character">
    <w:name w:val="heading 2"/>
    <w:basedOn w:val="Style_4_ch"/>
    <w:link w:val="Style_35"/>
    <w:rPr>
      <w:rFonts w:asciiTheme="majorAscii" w:hAnsiTheme="majorHAnsi"/>
      <w:color w:themeColor="accent1" w:themeShade="BF" w:val="2F5496"/>
      <w:sz w:val="32"/>
    </w:rPr>
  </w:style>
  <w:style w:styleId="Style_36" w:type="paragraph">
    <w:name w:val="p2"/>
    <w:basedOn w:val="Style_4"/>
    <w:link w:val="Style_36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36_ch" w:type="character">
    <w:name w:val="p2"/>
    <w:basedOn w:val="Style_4_ch"/>
    <w:link w:val="Style_36"/>
    <w:rPr>
      <w:rFonts w:ascii=".SF UI" w:hAnsi=".SF UI"/>
      <w:sz w:val="18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2025-12-09T12:33:03Z</dcterms:created>
  <dcterms:modified xsi:type="dcterms:W3CDTF">2026-06-15T14:19:31Z</dcterms:modified>
</cp:coreProperties>
</file>